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76949" w:rsidRPr="0013471B" w14:paraId="1A191AF4" w14:textId="77777777">
        <w:trPr>
          <w:cantSplit/>
          <w:trHeight w:hRule="exact" w:val="1440"/>
        </w:trPr>
        <w:tc>
          <w:tcPr>
            <w:tcW w:w="3787" w:type="dxa"/>
          </w:tcPr>
          <w:p w14:paraId="74C0FE6F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C3DCD">
              <w:rPr>
                <w:rFonts w:ascii="Arial" w:hAnsi="Arial" w:cs="Arial"/>
                <w:b/>
                <w:noProof/>
                <w:sz w:val="17"/>
                <w:szCs w:val="17"/>
              </w:rPr>
              <w:t>Avianca Holdings, S.A.</w:t>
            </w:r>
          </w:p>
          <w:p w14:paraId="2AEDE7EE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Attn: Richard Galindo</w:t>
            </w:r>
          </w:p>
          <w:p w14:paraId="03E76CC2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Calle 26 #59-15</w:t>
            </w:r>
          </w:p>
          <w:p w14:paraId="6043F30A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Bogota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 </w:t>
            </w:r>
          </w:p>
          <w:p w14:paraId="29CFB90D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Colombia</w:t>
            </w:r>
          </w:p>
          <w:p w14:paraId="20FAE936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4D18D04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61BA87A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C3DCD">
              <w:rPr>
                <w:rFonts w:ascii="Arial" w:hAnsi="Arial" w:cs="Arial"/>
                <w:b/>
                <w:noProof/>
                <w:sz w:val="17"/>
                <w:szCs w:val="17"/>
              </w:rPr>
              <w:t>Cadwalader, Wickersham &amp; Taft LLP</w:t>
            </w:r>
          </w:p>
          <w:p w14:paraId="6E1AF183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Gregory Petrick, Michele C. Maman, Nicholas B. Vislocky</w:t>
            </w:r>
          </w:p>
          <w:p w14:paraId="1AB01A57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200 Liberty St.</w:t>
            </w:r>
          </w:p>
          <w:p w14:paraId="70EF36DF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10281</w:t>
            </w:r>
          </w:p>
          <w:p w14:paraId="2418FCDA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DA90A23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8F6E3D8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C3DCD">
              <w:rPr>
                <w:rFonts w:ascii="Arial" w:hAnsi="Arial" w:cs="Arial"/>
                <w:b/>
                <w:noProof/>
                <w:sz w:val="17"/>
                <w:szCs w:val="17"/>
              </w:rPr>
              <w:t>Curtis, Mallet-Prevost, Colt &amp; Mosle LLP</w:t>
            </w:r>
          </w:p>
          <w:p w14:paraId="028F8427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Jerrold L. Bregman, Gabriel Hertzberg</w:t>
            </w:r>
          </w:p>
          <w:p w14:paraId="56CD85DD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101 Park Avenue</w:t>
            </w:r>
          </w:p>
          <w:p w14:paraId="259543E2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10178-0061</w:t>
            </w:r>
          </w:p>
          <w:p w14:paraId="6A5A025A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949" w:rsidRPr="0013471B" w14:paraId="64F6BE0F" w14:textId="77777777">
        <w:trPr>
          <w:cantSplit/>
          <w:trHeight w:hRule="exact" w:val="1440"/>
        </w:trPr>
        <w:tc>
          <w:tcPr>
            <w:tcW w:w="3787" w:type="dxa"/>
          </w:tcPr>
          <w:p w14:paraId="502BB777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C3DCD">
              <w:rPr>
                <w:rFonts w:ascii="Arial" w:hAnsi="Arial" w:cs="Arial"/>
                <w:b/>
                <w:noProof/>
                <w:sz w:val="17"/>
                <w:szCs w:val="17"/>
              </w:rPr>
              <w:t>Dechert LLP</w:t>
            </w:r>
          </w:p>
          <w:p w14:paraId="382A2C3E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Allan S. Brilliant and Craig P. Druehl</w:t>
            </w:r>
          </w:p>
          <w:p w14:paraId="44F02276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1095 Avenue of the Americas</w:t>
            </w:r>
          </w:p>
          <w:p w14:paraId="4B66DDD6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10036</w:t>
            </w:r>
          </w:p>
          <w:p w14:paraId="445933D5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D264B18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11BB3F5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C3DCD">
              <w:rPr>
                <w:rFonts w:ascii="Arial" w:hAnsi="Arial" w:cs="Arial"/>
                <w:b/>
                <w:noProof/>
                <w:sz w:val="17"/>
                <w:szCs w:val="17"/>
              </w:rPr>
              <w:t>Hughes Hubbard &amp; Reed LLP</w:t>
            </w:r>
          </w:p>
          <w:p w14:paraId="0ED3887C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Attention Christopher Gartman, Esq. and Elizabeth Beitler, Esq.</w:t>
            </w:r>
          </w:p>
          <w:p w14:paraId="6427C5A7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One Battery Park Plaza</w:t>
            </w:r>
          </w:p>
          <w:p w14:paraId="64D671E1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10004</w:t>
            </w:r>
          </w:p>
          <w:p w14:paraId="11DBB941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55EB766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DAE9428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C3DCD">
              <w:rPr>
                <w:rFonts w:ascii="Arial" w:hAnsi="Arial" w:cs="Arial"/>
                <w:b/>
                <w:noProof/>
                <w:sz w:val="17"/>
                <w:szCs w:val="17"/>
              </w:rPr>
              <w:t>KCC</w:t>
            </w:r>
          </w:p>
          <w:p w14:paraId="7D767CAC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Joe Morrow</w:t>
            </w:r>
          </w:p>
          <w:p w14:paraId="4599D0E3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222 N Pacific Highway, Suite 300</w:t>
            </w:r>
          </w:p>
          <w:p w14:paraId="38EF7ECA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El Segundo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90245</w:t>
            </w:r>
          </w:p>
          <w:p w14:paraId="56DFDB8E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949" w:rsidRPr="0013471B" w14:paraId="7C28619B" w14:textId="77777777">
        <w:trPr>
          <w:cantSplit/>
          <w:trHeight w:hRule="exact" w:val="1440"/>
        </w:trPr>
        <w:tc>
          <w:tcPr>
            <w:tcW w:w="3787" w:type="dxa"/>
          </w:tcPr>
          <w:p w14:paraId="68E63FBB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C3DCD">
              <w:rPr>
                <w:rFonts w:ascii="Arial" w:hAnsi="Arial" w:cs="Arial"/>
                <w:b/>
                <w:noProof/>
                <w:sz w:val="17"/>
                <w:szCs w:val="17"/>
              </w:rPr>
              <w:t>Milbank LLP</w:t>
            </w:r>
          </w:p>
          <w:p w14:paraId="6427D38E" w14:textId="77777777" w:rsidR="00576949" w:rsidRPr="007F526D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Evan R. Fleck, Benjamin Schak, Gregory Bray</w:t>
            </w:r>
          </w:p>
          <w:p w14:paraId="66EBDAA1" w14:textId="77777777" w:rsidR="00576949" w:rsidRPr="007F526D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55 Hudson Yards</w:t>
            </w:r>
          </w:p>
          <w:p w14:paraId="012F4FD9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10001</w:t>
            </w:r>
          </w:p>
          <w:p w14:paraId="0F16E6E4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CA46F00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B4344DA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C3DCD">
              <w:rPr>
                <w:rFonts w:ascii="Arial" w:hAnsi="Arial" w:cs="Arial"/>
                <w:b/>
                <w:noProof/>
                <w:sz w:val="17"/>
                <w:szCs w:val="17"/>
              </w:rPr>
              <w:t>Milbank LLP</w:t>
            </w:r>
          </w:p>
          <w:p w14:paraId="6EB54C5D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Greg Bray, Benjamin Schak</w:t>
            </w:r>
          </w:p>
          <w:p w14:paraId="3C3F7E93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AE7B1BB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59A3517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C3DCD">
              <w:rPr>
                <w:rFonts w:ascii="Arial" w:hAnsi="Arial" w:cs="Arial"/>
                <w:b/>
                <w:noProof/>
                <w:sz w:val="17"/>
                <w:szCs w:val="17"/>
              </w:rPr>
              <w:t>Milbank LLP</w:t>
            </w:r>
          </w:p>
          <w:p w14:paraId="17F38B66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Gregory Bray</w:t>
            </w:r>
          </w:p>
          <w:p w14:paraId="75378BF0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2029 Century Park East, 33rd Floor</w:t>
            </w:r>
          </w:p>
          <w:p w14:paraId="6F0065C1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90067</w:t>
            </w:r>
          </w:p>
          <w:p w14:paraId="7D4C88C8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949" w:rsidRPr="0013471B" w14:paraId="4308C516" w14:textId="77777777">
        <w:trPr>
          <w:cantSplit/>
          <w:trHeight w:hRule="exact" w:val="1440"/>
        </w:trPr>
        <w:tc>
          <w:tcPr>
            <w:tcW w:w="3787" w:type="dxa"/>
          </w:tcPr>
          <w:p w14:paraId="34356860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C3DCD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Trustee</w:t>
            </w:r>
          </w:p>
          <w:p w14:paraId="7FF20875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William K. Harrington</w:t>
            </w:r>
          </w:p>
          <w:p w14:paraId="033B6BB1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Attn: Brian Masumoto and Greg Zipes</w:t>
            </w:r>
          </w:p>
          <w:p w14:paraId="199F0A18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Alexander Hamilton Custom House</w:t>
            </w:r>
          </w:p>
          <w:p w14:paraId="0552F552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One Bowling Green, Suite 739</w:t>
            </w:r>
          </w:p>
          <w:p w14:paraId="5A99F08D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10004-1408</w:t>
            </w:r>
          </w:p>
          <w:p w14:paraId="5EAE400A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DDBB246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052FDD2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C3DCD">
              <w:rPr>
                <w:rFonts w:ascii="Arial" w:hAnsi="Arial" w:cs="Arial"/>
                <w:b/>
                <w:noProof/>
                <w:sz w:val="17"/>
                <w:szCs w:val="17"/>
              </w:rPr>
              <w:t>Sidley Austin LLP</w:t>
            </w:r>
          </w:p>
          <w:p w14:paraId="1AE04BB1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Michael G. Burke and Andrew P. Propps</w:t>
            </w:r>
          </w:p>
          <w:p w14:paraId="29C47615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787 Seventh Avenue</w:t>
            </w:r>
          </w:p>
          <w:p w14:paraId="70F2C09E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2BD4680F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EA8C844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C1790BF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C3DCD">
              <w:rPr>
                <w:rFonts w:ascii="Arial" w:hAnsi="Arial" w:cs="Arial"/>
                <w:b/>
                <w:noProof/>
                <w:sz w:val="17"/>
                <w:szCs w:val="17"/>
              </w:rPr>
              <w:t>United States Bankruptcy Court</w:t>
            </w:r>
          </w:p>
          <w:p w14:paraId="2F18EA7F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Southern District of New York</w:t>
            </w:r>
          </w:p>
          <w:p w14:paraId="69E8CE65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One Bowling Green</w:t>
            </w:r>
          </w:p>
          <w:p w14:paraId="2342E4BD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10004</w:t>
            </w:r>
          </w:p>
          <w:p w14:paraId="584DFDA7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949" w:rsidRPr="0013471B" w14:paraId="7FA58667" w14:textId="77777777">
        <w:trPr>
          <w:cantSplit/>
          <w:trHeight w:hRule="exact" w:val="1440"/>
        </w:trPr>
        <w:tc>
          <w:tcPr>
            <w:tcW w:w="3787" w:type="dxa"/>
          </w:tcPr>
          <w:p w14:paraId="427DB987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C3DCD">
              <w:rPr>
                <w:rFonts w:ascii="Arial" w:hAnsi="Arial" w:cs="Arial"/>
                <w:b/>
                <w:noProof/>
                <w:sz w:val="17"/>
                <w:szCs w:val="17"/>
              </w:rPr>
              <w:t>White &amp; Case LLP</w:t>
            </w:r>
          </w:p>
          <w:p w14:paraId="6C435665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Glenn Kurtz, Scott Greissman, Joshua Weedman, Mark Franke, Brandon Batzel</w:t>
            </w:r>
          </w:p>
          <w:p w14:paraId="6E563F2C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1221 Avenue of the Americas</w:t>
            </w:r>
          </w:p>
          <w:p w14:paraId="7DC27D22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10020-1095</w:t>
            </w:r>
          </w:p>
          <w:p w14:paraId="29476ED3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47356AA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7D09292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C3DCD">
              <w:rPr>
                <w:rFonts w:ascii="Arial" w:hAnsi="Arial" w:cs="Arial"/>
                <w:b/>
                <w:noProof/>
                <w:sz w:val="17"/>
                <w:szCs w:val="17"/>
              </w:rPr>
              <w:t>White &amp; Case LLP</w:t>
            </w:r>
          </w:p>
          <w:p w14:paraId="2793CA93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Keith H. Wofford</w:t>
            </w:r>
          </w:p>
          <w:p w14:paraId="6BCF3394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1221 Avenue of the Americas</w:t>
            </w:r>
          </w:p>
          <w:p w14:paraId="06FAAE3A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10020</w:t>
            </w:r>
          </w:p>
          <w:p w14:paraId="59FAAB7B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091614F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44EBC15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C3DCD">
              <w:rPr>
                <w:rFonts w:ascii="Arial" w:hAnsi="Arial" w:cs="Arial"/>
                <w:b/>
                <w:noProof/>
                <w:sz w:val="17"/>
                <w:szCs w:val="17"/>
              </w:rPr>
              <w:t>White &amp; Case LLP</w:t>
            </w:r>
          </w:p>
          <w:p w14:paraId="3B926E29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Stephen Moeller-Sally</w:t>
            </w:r>
          </w:p>
          <w:p w14:paraId="7B98FBD9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75 State Street, 24th Floor</w:t>
            </w:r>
          </w:p>
          <w:p w14:paraId="3702B5AF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02109-</w:t>
            </w:r>
          </w:p>
          <w:p w14:paraId="7E00CC2B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949" w:rsidRPr="0013471B" w14:paraId="56F33991" w14:textId="77777777">
        <w:trPr>
          <w:cantSplit/>
          <w:trHeight w:hRule="exact" w:val="1440"/>
        </w:trPr>
        <w:tc>
          <w:tcPr>
            <w:tcW w:w="3787" w:type="dxa"/>
          </w:tcPr>
          <w:p w14:paraId="0C221622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C3DCD">
              <w:rPr>
                <w:rFonts w:ascii="Arial" w:hAnsi="Arial" w:cs="Arial"/>
                <w:b/>
                <w:noProof/>
                <w:sz w:val="17"/>
                <w:szCs w:val="17"/>
              </w:rPr>
              <w:t>Willkie Farr &amp; Gallagher LLP</w:t>
            </w:r>
          </w:p>
          <w:p w14:paraId="12B7BB72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Attn: Brett H. Miller, Esq., Todd M. Goren, Esq., Craig Damast, Esq., Debra M. Sinclair, Esq.</w:t>
            </w:r>
          </w:p>
          <w:p w14:paraId="2D9EB485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787 Seventh Avenue</w:t>
            </w:r>
          </w:p>
          <w:p w14:paraId="3C801D52" w14:textId="77777777" w:rsidR="00576949" w:rsidRPr="0013471B" w:rsidRDefault="0057694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C3DCD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19F1A5D0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672D9ED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F1F503B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F55E04B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C8A7690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949" w:rsidRPr="0013471B" w14:paraId="3F9E18C1" w14:textId="77777777">
        <w:trPr>
          <w:cantSplit/>
          <w:trHeight w:hRule="exact" w:val="1440"/>
        </w:trPr>
        <w:tc>
          <w:tcPr>
            <w:tcW w:w="3787" w:type="dxa"/>
          </w:tcPr>
          <w:p w14:paraId="4BF465EA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9F68D9B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2A37E14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5288807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EF74852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949" w:rsidRPr="0013471B" w14:paraId="22569218" w14:textId="77777777">
        <w:trPr>
          <w:cantSplit/>
          <w:trHeight w:hRule="exact" w:val="1440"/>
        </w:trPr>
        <w:tc>
          <w:tcPr>
            <w:tcW w:w="3787" w:type="dxa"/>
          </w:tcPr>
          <w:p w14:paraId="2F2868F9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C4FEF86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1A4C411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9029898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3A4BF95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949" w:rsidRPr="0013471B" w14:paraId="0325B287" w14:textId="77777777">
        <w:trPr>
          <w:cantSplit/>
          <w:trHeight w:hRule="exact" w:val="1440"/>
        </w:trPr>
        <w:tc>
          <w:tcPr>
            <w:tcW w:w="3787" w:type="dxa"/>
          </w:tcPr>
          <w:p w14:paraId="6E2F69D3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BFBABF4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100837C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BC10FB4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8843657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949" w:rsidRPr="0013471B" w14:paraId="7B4BA59B" w14:textId="77777777">
        <w:trPr>
          <w:cantSplit/>
          <w:trHeight w:hRule="exact" w:val="1440"/>
        </w:trPr>
        <w:tc>
          <w:tcPr>
            <w:tcW w:w="3787" w:type="dxa"/>
          </w:tcPr>
          <w:p w14:paraId="583E8F87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3150782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8CDF26D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FD9FE29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8F85E6F" w14:textId="77777777" w:rsidR="00576949" w:rsidRPr="0013471B" w:rsidRDefault="0057694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1D30FC" w14:textId="77777777" w:rsidR="00576949" w:rsidRDefault="00576949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576949" w:rsidSect="0057694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1AECE8D3" w14:textId="77777777" w:rsidR="00576949" w:rsidRPr="0013471B" w:rsidRDefault="00576949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576949" w:rsidRPr="0013471B" w:rsidSect="00576949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1B"/>
    <w:rsid w:val="000F469F"/>
    <w:rsid w:val="0013471B"/>
    <w:rsid w:val="004E0C9D"/>
    <w:rsid w:val="00511A01"/>
    <w:rsid w:val="005204AF"/>
    <w:rsid w:val="00576949"/>
    <w:rsid w:val="00634332"/>
    <w:rsid w:val="007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94BF6"/>
  <w15:docId w15:val="{B91FE0A0-F36B-4180-8C3A-9F79CD7E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Company>CTS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Marrium Zubair</cp:lastModifiedBy>
  <cp:revision>1</cp:revision>
  <dcterms:created xsi:type="dcterms:W3CDTF">2023-12-05T23:47:00Z</dcterms:created>
  <dcterms:modified xsi:type="dcterms:W3CDTF">2023-12-05T23:49:00Z</dcterms:modified>
</cp:coreProperties>
</file>